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Microsoft YaHei" w:hAnsi="Microsoft YaHei" w:eastAsia="Microsoft YaHei"/>
          <w:b/>
          <w:color w:val="0B2545"/>
          <w:sz w:val="36"/>
        </w:rPr>
        <w:t>货主运输服务合同模板</w:t>
      </w:r>
    </w:p>
    <w:p>
      <w:pPr>
        <w:jc w:val="center"/>
      </w:pPr>
      <w:r>
        <w:rPr>
          <w:rFonts w:ascii="Microsoft YaHei" w:hAnsi="Microsoft YaHei" w:eastAsia="Microsoft YaHei"/>
          <w:b w:val="0"/>
          <w:color w:val="4B5563"/>
          <w:sz w:val="20"/>
        </w:rPr>
        <w:t>模板编号：01 | 生成日期：2026-06-30</w:t>
      </w:r>
    </w:p>
    <w:p>
      <w:pPr>
        <w:spacing w:before="120" w:after="160"/>
        <w:ind w:left="113" w:right="113"/>
      </w:pPr>
      <w:r>
        <w:rPr>
          <w:rFonts w:ascii="Microsoft YaHei" w:hAnsi="Microsoft YaHei" w:eastAsia="Microsoft YaHei"/>
          <w:b/>
          <w:color w:val="7A3E00"/>
          <w:sz w:val="19"/>
        </w:rPr>
        <w:t>重要提示：本文件为业务模式与合同条款初稿，供内部讨论、法务审阅和税务论证使用。具体签署前，应由具备资质的律师、税务师、会计师结合主体资质、所在地监管口径、保险方案、实际系统证据链及交易数据复核。</w:t>
      </w:r>
    </w:p>
    <w:p>
      <w:r>
        <w:rPr>
          <w:rFonts w:ascii="Microsoft YaHei" w:hAnsi="Microsoft YaHei" w:eastAsia="Microsoft YaHei"/>
          <w:b/>
          <w:color w:val="0B2545"/>
          <w:sz w:val="21"/>
        </w:rPr>
        <w:t>适用目的：用于平台与货主签署，确认平台承运人身份、货主预付运费、运单确认、开票和赔偿规则。</w:t>
      </w:r>
    </w:p>
    <w:p>
      <w:pPr>
        <w:pStyle w:val="Heading1"/>
      </w:pPr>
      <w:r>
        <w:t>一、合同当事人</w:t>
      </w:r>
    </w:p>
    <w:p>
      <w:pPr>
        <w:pStyle w:val="ListBullet"/>
        <w:spacing w:after="80"/>
        <w:ind w:left="340" w:hanging="142"/>
      </w:pPr>
      <w:r>
        <w:rPr>
          <w:rFonts w:ascii="Microsoft YaHei" w:hAnsi="Microsoft YaHei" w:eastAsia="Microsoft YaHei"/>
          <w:b w:val="0"/>
          <w:sz w:val="20"/>
        </w:rPr>
        <w:t>甲方（托运人/货主）：【】</w:t>
      </w:r>
    </w:p>
    <w:p>
      <w:pPr>
        <w:pStyle w:val="ListBullet"/>
        <w:spacing w:after="80"/>
        <w:ind w:left="340" w:hanging="142"/>
      </w:pPr>
      <w:r>
        <w:rPr>
          <w:rFonts w:ascii="Microsoft YaHei" w:hAnsi="Microsoft YaHei" w:eastAsia="Microsoft YaHei"/>
          <w:b w:val="0"/>
          <w:sz w:val="20"/>
        </w:rPr>
        <w:t>乙方（承运平台）：【】</w:t>
      </w:r>
    </w:p>
    <w:p>
      <w:r>
        <w:rPr>
          <w:rFonts w:ascii="Microsoft YaHei" w:hAnsi="Microsoft YaHei" w:eastAsia="Microsoft YaHei"/>
          <w:b w:val="0"/>
          <w:sz w:val="21"/>
        </w:rPr>
        <w:t>签署日期：【】年【】月【】日    签署地点：【】</w:t>
      </w:r>
    </w:p>
    <w:p>
      <w:pPr>
        <w:pStyle w:val="Heading1"/>
      </w:pPr>
      <w:r>
        <w:t>二、正文条款</w:t>
      </w:r>
    </w:p>
    <w:p>
      <w:pPr>
        <w:pStyle w:val="Heading2"/>
      </w:pPr>
      <w:r>
        <w:t>1. 合同主体与承运关系</w:t>
      </w:r>
    </w:p>
    <w:p>
      <w:pPr>
        <w:pStyle w:val="ListNumber"/>
        <w:spacing w:after="80"/>
        <w:ind w:left="369" w:hanging="142"/>
      </w:pPr>
      <w:r>
        <w:rPr>
          <w:rFonts w:ascii="Microsoft YaHei" w:hAnsi="Microsoft YaHei" w:eastAsia="Microsoft YaHei"/>
          <w:b w:val="0"/>
          <w:sz w:val="20"/>
        </w:rPr>
        <w:t>甲方委托乙方承运货物，乙方以承运人身份接受甲方委托，并通过自有系统组织车辆、驾驶员及相关服务资源完成运输。</w:t>
      </w:r>
    </w:p>
    <w:p>
      <w:pPr>
        <w:pStyle w:val="ListNumber"/>
        <w:spacing w:after="80"/>
        <w:ind w:left="369" w:hanging="142"/>
      </w:pPr>
      <w:r>
        <w:rPr>
          <w:rFonts w:ascii="Microsoft YaHei" w:hAnsi="Microsoft YaHei" w:eastAsia="Microsoft YaHei"/>
          <w:b w:val="0"/>
          <w:sz w:val="20"/>
        </w:rPr>
        <w:t>甲方确认，乙方系统内生成并经甲方确认或甲方授权人员操作形成的运单、电子签收、轨迹记录、费用确认单和结算单，均构成本合同项下交易资料。</w:t>
      </w:r>
    </w:p>
    <w:p>
      <w:pPr>
        <w:pStyle w:val="ListNumber"/>
        <w:spacing w:after="80"/>
        <w:ind w:left="369" w:hanging="142"/>
      </w:pPr>
      <w:r>
        <w:rPr>
          <w:rFonts w:ascii="Microsoft YaHei" w:hAnsi="Microsoft YaHei" w:eastAsia="Microsoft YaHei"/>
          <w:b w:val="0"/>
          <w:sz w:val="20"/>
        </w:rPr>
        <w:t>未经乙方书面确认，任何第三方或乙方合作承包人不得以自身名义替代乙方成为本合同项下承运人。</w:t>
      </w:r>
    </w:p>
    <w:p>
      <w:pPr>
        <w:pStyle w:val="Heading2"/>
      </w:pPr>
      <w:r>
        <w:t>2. 预付运费及余额管理</w:t>
      </w:r>
    </w:p>
    <w:p>
      <w:pPr>
        <w:pStyle w:val="ListNumber"/>
        <w:spacing w:after="80"/>
        <w:ind w:left="369" w:hanging="142"/>
      </w:pPr>
      <w:r>
        <w:rPr>
          <w:rFonts w:ascii="Microsoft YaHei" w:hAnsi="Microsoft YaHei" w:eastAsia="Microsoft YaHei"/>
          <w:b w:val="0"/>
          <w:sz w:val="20"/>
        </w:rPr>
        <w:t>甲方应在发运前向乙方指定账户预付运费或保持足额预付运费余额。乙方有权在预付余额不足以覆盖预计运费、附加费用或历史未结费用时暂停接单、暂停调派或要求补足余额。</w:t>
      </w:r>
    </w:p>
    <w:p>
      <w:pPr>
        <w:pStyle w:val="ListNumber"/>
        <w:spacing w:after="80"/>
        <w:ind w:left="369" w:hanging="142"/>
      </w:pPr>
      <w:r>
        <w:rPr>
          <w:rFonts w:ascii="Microsoft YaHei" w:hAnsi="Microsoft YaHei" w:eastAsia="Microsoft YaHei"/>
          <w:b w:val="0"/>
          <w:sz w:val="20"/>
        </w:rPr>
        <w:t>甲方预付运费不属于借款、保证金或第三方代收款。乙方在对应运单完成并满足收入确认、结算确认或开票条件后，根据实际运费冲减甲方预付余额。</w:t>
      </w:r>
    </w:p>
    <w:p>
      <w:pPr>
        <w:pStyle w:val="ListNumber"/>
        <w:spacing w:after="80"/>
        <w:ind w:left="369" w:hanging="142"/>
      </w:pPr>
      <w:r>
        <w:rPr>
          <w:rFonts w:ascii="Microsoft YaHei" w:hAnsi="Microsoft YaHei" w:eastAsia="Microsoft YaHei"/>
          <w:b w:val="0"/>
          <w:sz w:val="20"/>
        </w:rPr>
        <w:t>未实际履行、已取消或经乙方认定存在异常的运单，对应冻结余额按本合同、平台规则或双方书面确认退回、滚存、抵扣或继续冻结。</w:t>
      </w:r>
    </w:p>
    <w:p>
      <w:pPr>
        <w:pStyle w:val="Heading2"/>
      </w:pPr>
      <w:r>
        <w:t>3. 运单生成与履约确认</w:t>
      </w:r>
    </w:p>
    <w:p>
      <w:pPr>
        <w:pStyle w:val="ListNumber"/>
        <w:spacing w:after="80"/>
        <w:ind w:left="369" w:hanging="142"/>
      </w:pPr>
      <w:r>
        <w:rPr>
          <w:rFonts w:ascii="Microsoft YaHei" w:hAnsi="Microsoft YaHei" w:eastAsia="Microsoft YaHei"/>
          <w:b w:val="0"/>
          <w:sz w:val="20"/>
        </w:rPr>
        <w:t>每一运单至少应包含货主信息、装卸货地点、货物名称、重量/体积、运价规则、车辆信息、驾驶员信息、预计路线、装卸时间和特别要求。</w:t>
      </w:r>
    </w:p>
    <w:p>
      <w:pPr>
        <w:pStyle w:val="ListNumber"/>
        <w:spacing w:after="80"/>
        <w:ind w:left="369" w:hanging="142"/>
      </w:pPr>
      <w:r>
        <w:rPr>
          <w:rFonts w:ascii="Microsoft YaHei" w:hAnsi="Microsoft YaHei" w:eastAsia="Microsoft YaHei"/>
          <w:b w:val="0"/>
          <w:sz w:val="20"/>
        </w:rPr>
        <w:t>运单履约以乙方系统记录、GPS轨迹、电子围栏、ETC/通行记录、装卸货照片、磅单、签收单、异常处理记录等资料综合认定。</w:t>
      </w:r>
    </w:p>
    <w:p>
      <w:pPr>
        <w:pStyle w:val="ListNumber"/>
        <w:spacing w:after="80"/>
        <w:ind w:left="369" w:hanging="142"/>
      </w:pPr>
      <w:r>
        <w:rPr>
          <w:rFonts w:ascii="Microsoft YaHei" w:hAnsi="Microsoft YaHei" w:eastAsia="Microsoft YaHei"/>
          <w:b w:val="0"/>
          <w:sz w:val="20"/>
        </w:rPr>
        <w:t>甲方应在签收后【】日内完成对账确认。逾期未提出书面异议且乙方系统资料完整的，视为甲方认可该运单履约和结算结果。</w:t>
      </w:r>
    </w:p>
    <w:p>
      <w:pPr>
        <w:pStyle w:val="Heading2"/>
      </w:pPr>
      <w:r>
        <w:t>4. 费用、税费与发票</w:t>
      </w:r>
    </w:p>
    <w:p>
      <w:pPr>
        <w:pStyle w:val="ListNumber"/>
        <w:spacing w:after="80"/>
        <w:ind w:left="369" w:hanging="142"/>
      </w:pPr>
      <w:r>
        <w:rPr>
          <w:rFonts w:ascii="Microsoft YaHei" w:hAnsi="Microsoft YaHei" w:eastAsia="Microsoft YaHei"/>
          <w:b w:val="0"/>
          <w:sz w:val="20"/>
        </w:rPr>
        <w:t>乙方按本合同、运单或双方确认的价格规则向甲方收取运输服务费。除双方另有书面约定外，运费不含因甲方原因产生的压车费、返空费、装卸等待费、改线费、超限处置费、仓储费及其他额外费用。</w:t>
      </w:r>
    </w:p>
    <w:p>
      <w:pPr>
        <w:pStyle w:val="ListNumber"/>
        <w:spacing w:after="80"/>
        <w:ind w:left="369" w:hanging="142"/>
      </w:pPr>
      <w:r>
        <w:rPr>
          <w:rFonts w:ascii="Microsoft YaHei" w:hAnsi="Microsoft YaHei" w:eastAsia="Microsoft YaHei"/>
          <w:b w:val="0"/>
          <w:sz w:val="20"/>
        </w:rPr>
        <w:t>乙方按法律法规及税务规则向甲方开具相应运输服务发票。甲方应提供真实、完整、有效的开票信息，并不得要求乙方就未真实发生、未完成闭环或金额不实的运单开票。</w:t>
      </w:r>
    </w:p>
    <w:p>
      <w:pPr>
        <w:pStyle w:val="ListNumber"/>
        <w:spacing w:after="80"/>
        <w:ind w:left="369" w:hanging="142"/>
      </w:pPr>
      <w:r>
        <w:rPr>
          <w:rFonts w:ascii="Microsoft YaHei" w:hAnsi="Microsoft YaHei" w:eastAsia="Microsoft YaHei"/>
          <w:b w:val="0"/>
          <w:sz w:val="20"/>
        </w:rPr>
        <w:t>如甲方先行要求开票或因甲方资料错误导致税务损失、发票作废、红冲、补税、滞纳金或罚款的，责任由甲方承担。</w:t>
      </w:r>
    </w:p>
    <w:p>
      <w:pPr>
        <w:pStyle w:val="Heading2"/>
      </w:pPr>
      <w:r>
        <w:t>5. 货物交付、风险与赔偿</w:t>
      </w:r>
    </w:p>
    <w:p>
      <w:pPr>
        <w:pStyle w:val="ListNumber"/>
        <w:spacing w:after="80"/>
        <w:ind w:left="369" w:hanging="142"/>
      </w:pPr>
      <w:r>
        <w:rPr>
          <w:rFonts w:ascii="Microsoft YaHei" w:hAnsi="Microsoft YaHei" w:eastAsia="Microsoft YaHei"/>
          <w:b w:val="0"/>
          <w:sz w:val="20"/>
        </w:rPr>
        <w:t>乙方按照法律规定和本合同约定承担承运人责任。因不可抗力、货物自然性质、合理损耗、甲方包装不当、甲方申报不实、甲方指令错误或收发货方原因造成损失的，乙方不承担或相应减轻责任。</w:t>
      </w:r>
    </w:p>
    <w:p>
      <w:pPr>
        <w:pStyle w:val="ListNumber"/>
        <w:spacing w:after="80"/>
        <w:ind w:left="369" w:hanging="142"/>
      </w:pPr>
      <w:r>
        <w:rPr>
          <w:rFonts w:ascii="Microsoft YaHei" w:hAnsi="Microsoft YaHei" w:eastAsia="Microsoft YaHei"/>
          <w:b w:val="0"/>
          <w:sz w:val="20"/>
        </w:rPr>
        <w:t>甲方应如实申报货物名称、性质、价值、重量、体积、危险属性、温控要求和禁限运情况。甲方隐瞒或错误申报造成损失、行政处罚、第三方索赔或保险拒赔的，甲方应赔偿乙方全部损失。</w:t>
      </w:r>
    </w:p>
    <w:p>
      <w:pPr>
        <w:pStyle w:val="ListNumber"/>
        <w:spacing w:after="80"/>
        <w:ind w:left="369" w:hanging="142"/>
      </w:pPr>
      <w:r>
        <w:rPr>
          <w:rFonts w:ascii="Microsoft YaHei" w:hAnsi="Microsoft YaHei" w:eastAsia="Microsoft YaHei"/>
          <w:b w:val="0"/>
          <w:sz w:val="20"/>
        </w:rPr>
        <w:t>乙方可通过货运险、承运人责任险、车辆险、第三者责任险等方式管理赔付风险。保险赔付不影响责任认定；免赔额、超限额、拒赔、除外责任部分按责任归属承担。</w:t>
      </w:r>
    </w:p>
    <w:p>
      <w:pPr>
        <w:pStyle w:val="Heading2"/>
      </w:pPr>
      <w:r>
        <w:t>6. 合规承诺与禁止事项</w:t>
      </w:r>
    </w:p>
    <w:p>
      <w:pPr>
        <w:pStyle w:val="ListNumber"/>
        <w:spacing w:after="80"/>
        <w:ind w:left="369" w:hanging="142"/>
      </w:pPr>
      <w:r>
        <w:rPr>
          <w:rFonts w:ascii="Microsoft YaHei" w:hAnsi="Microsoft YaHei" w:eastAsia="Microsoft YaHei"/>
          <w:b w:val="0"/>
          <w:sz w:val="20"/>
        </w:rPr>
        <w:t>甲方不得利用乙方系统虚构运输、虚增运费、拆分交易、安排资金回流、取得不符合实际交易的发票或实施其他违法违规行为。</w:t>
      </w:r>
    </w:p>
    <w:p>
      <w:pPr>
        <w:pStyle w:val="ListNumber"/>
        <w:spacing w:after="80"/>
        <w:ind w:left="369" w:hanging="142"/>
      </w:pPr>
      <w:r>
        <w:rPr>
          <w:rFonts w:ascii="Microsoft YaHei" w:hAnsi="Microsoft YaHei" w:eastAsia="Microsoft YaHei"/>
          <w:b w:val="0"/>
          <w:sz w:val="20"/>
        </w:rPr>
        <w:t>甲方及其关联方不得通过乙方合作承包人、司机、供应商或其他第三方变相返还运费、虚增成本或规避平台风控。</w:t>
      </w:r>
    </w:p>
    <w:p>
      <w:pPr>
        <w:pStyle w:val="ListNumber"/>
        <w:spacing w:after="80"/>
        <w:ind w:left="369" w:hanging="142"/>
      </w:pPr>
      <w:r>
        <w:rPr>
          <w:rFonts w:ascii="Microsoft YaHei" w:hAnsi="Microsoft YaHei" w:eastAsia="Microsoft YaHei"/>
          <w:b w:val="0"/>
          <w:sz w:val="20"/>
        </w:rPr>
        <w:t>乙方有权对异常交易进行暂停发运、冻结余额、暂缓开票、要求补充资料、向监管或税务机关说明情况并解除合同。</w:t>
      </w:r>
    </w:p>
    <w:p>
      <w:pPr>
        <w:pStyle w:val="Heading2"/>
      </w:pPr>
      <w:r>
        <w:t>7. 数据与证据</w:t>
      </w:r>
    </w:p>
    <w:p>
      <w:pPr>
        <w:pStyle w:val="ListNumber"/>
        <w:spacing w:after="80"/>
        <w:ind w:left="369" w:hanging="142"/>
      </w:pPr>
      <w:r>
        <w:rPr>
          <w:rFonts w:ascii="Microsoft YaHei" w:hAnsi="Microsoft YaHei" w:eastAsia="Microsoft YaHei"/>
          <w:b w:val="0"/>
          <w:sz w:val="20"/>
        </w:rPr>
        <w:t>双方确认乙方系统记录是运单履约、费用结算、异常处置和争议解决的重要证据。</w:t>
      </w:r>
    </w:p>
    <w:p>
      <w:pPr>
        <w:pStyle w:val="ListNumber"/>
        <w:spacing w:after="80"/>
        <w:ind w:left="369" w:hanging="142"/>
      </w:pPr>
      <w:r>
        <w:rPr>
          <w:rFonts w:ascii="Microsoft YaHei" w:hAnsi="Microsoft YaHei" w:eastAsia="Microsoft YaHei"/>
          <w:b w:val="0"/>
          <w:sz w:val="20"/>
        </w:rPr>
        <w:t>甲方应配合乙方留存合同流、订单流、物流流、资金流、票据流相关资料，不得删除、篡改、伪造或拒绝提供必要单据。</w:t>
      </w:r>
    </w:p>
    <w:p>
      <w:pPr>
        <w:pStyle w:val="Heading2"/>
      </w:pPr>
      <w:r>
        <w:t>8. 违约责任与解除</w:t>
      </w:r>
    </w:p>
    <w:p>
      <w:pPr>
        <w:pStyle w:val="ListNumber"/>
        <w:spacing w:after="80"/>
        <w:ind w:left="369" w:hanging="142"/>
      </w:pPr>
      <w:r>
        <w:rPr>
          <w:rFonts w:ascii="Microsoft YaHei" w:hAnsi="Microsoft YaHei" w:eastAsia="Microsoft YaHei"/>
          <w:b w:val="0"/>
          <w:sz w:val="20"/>
        </w:rPr>
        <w:t>一方违反本合同约定给对方造成损失的，应赔偿守约方因此遭受的直接损失、第三方索赔、行政处罚、税费损失、律师费、公证费、保全费、诉讼费或仲裁费等合理费用。</w:t>
      </w:r>
    </w:p>
    <w:p>
      <w:pPr>
        <w:pStyle w:val="ListNumber"/>
        <w:spacing w:after="80"/>
        <w:ind w:left="369" w:hanging="142"/>
      </w:pPr>
      <w:r>
        <w:rPr>
          <w:rFonts w:ascii="Microsoft YaHei" w:hAnsi="Microsoft YaHei" w:eastAsia="Microsoft YaHei"/>
          <w:b w:val="0"/>
          <w:sz w:val="20"/>
        </w:rPr>
        <w:t>甲方存在虚假运输、恶意拖欠、隐瞒货物属性、要求虚开发票、资金回流、协助承包人规避关联关系识别等情形的，乙方有权立即解除合同并追究责任。</w:t>
      </w:r>
    </w:p>
    <w:p>
      <w:pPr>
        <w:pStyle w:val="Heading1"/>
      </w:pPr>
      <w:r>
        <w:t>三、通用签署条款</w:t>
      </w:r>
    </w:p>
    <w:p>
      <w:pPr>
        <w:pStyle w:val="ListNumber"/>
        <w:spacing w:after="80"/>
        <w:ind w:left="369" w:hanging="142"/>
      </w:pPr>
      <w:r>
        <w:rPr>
          <w:rFonts w:ascii="Microsoft YaHei" w:hAnsi="Microsoft YaHei" w:eastAsia="Microsoft YaHei"/>
          <w:b w:val="0"/>
          <w:sz w:val="20"/>
        </w:rPr>
        <w:t>本模板中【】为空白可填项，各方应在签署前补充完整；与主合同、附件或平台规则不一致的，以各方最终签署文本为准。</w:t>
      </w:r>
    </w:p>
    <w:p>
      <w:pPr>
        <w:pStyle w:val="ListNumber"/>
        <w:spacing w:after="80"/>
        <w:ind w:left="369" w:hanging="142"/>
      </w:pPr>
      <w:r>
        <w:rPr>
          <w:rFonts w:ascii="Microsoft YaHei" w:hAnsi="Microsoft YaHei" w:eastAsia="Microsoft YaHei"/>
          <w:b w:val="0"/>
          <w:sz w:val="20"/>
        </w:rPr>
        <w:t>本合同项下通知可通过书面文件、平台系统、电子邮件、短信或双方确认的其他方式发送。涉及解除、追偿、重大违约、争议解决的通知，宜采用可留痕方式。</w:t>
      </w:r>
    </w:p>
    <w:p>
      <w:pPr>
        <w:pStyle w:val="ListNumber"/>
        <w:spacing w:after="80"/>
        <w:ind w:left="369" w:hanging="142"/>
      </w:pPr>
      <w:r>
        <w:rPr>
          <w:rFonts w:ascii="Microsoft YaHei" w:hAnsi="Microsoft YaHei" w:eastAsia="Microsoft YaHei"/>
          <w:b w:val="0"/>
          <w:sz w:val="20"/>
        </w:rPr>
        <w:t>因本合同产生的争议，各方应先友好协商；协商不成的，提交【平台所在地有管辖权人民法院/仲裁委员会】解决。</w:t>
      </w:r>
    </w:p>
    <w:p>
      <w:pPr>
        <w:pStyle w:val="ListNumber"/>
        <w:spacing w:after="80"/>
        <w:ind w:left="369" w:hanging="142"/>
      </w:pPr>
      <w:r>
        <w:rPr>
          <w:rFonts w:ascii="Microsoft YaHei" w:hAnsi="Microsoft YaHei" w:eastAsia="Microsoft YaHei"/>
          <w:b w:val="0"/>
          <w:sz w:val="20"/>
        </w:rPr>
        <w:t>本合同自各方盖章或签字之日起生效。电子签章、可靠电子签名及平台确认流程具有与纸质签署同等的证明效力，但法律法规另有规定的除外。</w:t>
      </w:r>
    </w:p>
    <w:p>
      <w:pPr>
        <w:pStyle w:val="Heading1"/>
      </w:pPr>
      <w:r>
        <w:t>四、签署页</w:t>
      </w:r>
    </w:p>
    <w:tbl>
      <w:tblPr>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4873"/>
        <w:gridCol w:w="4873"/>
      </w:tblGrid>
      <w:tr>
        <w:tc>
          <w:tcPr>
            <w:tcW w:type="dxa" w:w="4873"/>
            <w:vAlign w:val="center"/>
          </w:tcPr>
          <w:p>
            <w:pPr>
              <w:spacing w:after="0"/>
            </w:pPr>
            <w:r/>
            <w:r>
              <w:rPr>
                <w:rFonts w:ascii="Microsoft YaHei" w:hAnsi="Microsoft YaHei" w:eastAsia="Microsoft YaHei"/>
                <w:b w:val="0"/>
                <w:color w:val="1F2937"/>
                <w:sz w:val="19"/>
              </w:rPr>
              <w:t>甲方：</w:t>
            </w:r>
          </w:p>
        </w:tc>
        <w:tc>
          <w:tcPr>
            <w:tcW w:type="dxa" w:w="4873"/>
            <w:vAlign w:val="center"/>
          </w:tcPr>
          <w:p>
            <w:pPr>
              <w:spacing w:after="0"/>
            </w:pPr>
            <w:r/>
            <w:r>
              <w:rPr>
                <w:rFonts w:ascii="Microsoft YaHei" w:hAnsi="Microsoft YaHei" w:eastAsia="Microsoft YaHei"/>
                <w:b w:val="0"/>
                <w:color w:val="1F2937"/>
                <w:sz w:val="19"/>
              </w:rPr>
              <w:t>乙方/承诺方：</w:t>
            </w:r>
          </w:p>
        </w:tc>
      </w:tr>
      <w:tr>
        <w:tc>
          <w:tcPr>
            <w:tcW w:type="dxa" w:w="4873"/>
            <w:vAlign w:val="center"/>
          </w:tcPr>
          <w:p>
            <w:pPr>
              <w:spacing w:after="0"/>
            </w:pPr>
            <w:r/>
            <w:r>
              <w:rPr>
                <w:rFonts w:ascii="Microsoft YaHei" w:hAnsi="Microsoft YaHei" w:eastAsia="Microsoft YaHei"/>
                <w:b w:val="0"/>
                <w:color w:val="1F2937"/>
                <w:sz w:val="19"/>
              </w:rPr>
              <w:t>盖章/签字：</w:t>
            </w:r>
          </w:p>
        </w:tc>
        <w:tc>
          <w:tcPr>
            <w:tcW w:type="dxa" w:w="4873"/>
            <w:vAlign w:val="center"/>
          </w:tcPr>
          <w:p>
            <w:pPr>
              <w:spacing w:after="0"/>
            </w:pPr>
            <w:r/>
            <w:r>
              <w:rPr>
                <w:rFonts w:ascii="Microsoft YaHei" w:hAnsi="Microsoft YaHei" w:eastAsia="Microsoft YaHei"/>
                <w:b w:val="0"/>
                <w:color w:val="1F2937"/>
                <w:sz w:val="19"/>
              </w:rPr>
              <w:t>盖章/签字：</w:t>
            </w:r>
          </w:p>
        </w:tc>
      </w:tr>
      <w:tr>
        <w:tc>
          <w:tcPr>
            <w:tcW w:type="dxa" w:w="4873"/>
            <w:vAlign w:val="center"/>
          </w:tcPr>
          <w:p>
            <w:pPr>
              <w:spacing w:after="0"/>
            </w:pPr>
            <w:r/>
            <w:r>
              <w:rPr>
                <w:rFonts w:ascii="Microsoft YaHei" w:hAnsi="Microsoft YaHei" w:eastAsia="Microsoft YaHei"/>
                <w:b w:val="0"/>
                <w:color w:val="1F2937"/>
                <w:sz w:val="19"/>
              </w:rPr>
              <w:t>授权代表：</w:t>
            </w:r>
          </w:p>
        </w:tc>
        <w:tc>
          <w:tcPr>
            <w:tcW w:type="dxa" w:w="4873"/>
            <w:vAlign w:val="center"/>
          </w:tcPr>
          <w:p>
            <w:pPr>
              <w:spacing w:after="0"/>
            </w:pPr>
            <w:r/>
            <w:r>
              <w:rPr>
                <w:rFonts w:ascii="Microsoft YaHei" w:hAnsi="Microsoft YaHei" w:eastAsia="Microsoft YaHei"/>
                <w:b w:val="0"/>
                <w:color w:val="1F2937"/>
                <w:sz w:val="19"/>
              </w:rPr>
              <w:t>授权代表：</w:t>
            </w:r>
          </w:p>
        </w:tc>
      </w:tr>
      <w:tr>
        <w:tc>
          <w:tcPr>
            <w:tcW w:type="dxa" w:w="4873"/>
            <w:vAlign w:val="center"/>
          </w:tcPr>
          <w:p>
            <w:pPr>
              <w:spacing w:after="0"/>
            </w:pPr>
            <w:r/>
            <w:r>
              <w:rPr>
                <w:rFonts w:ascii="Microsoft YaHei" w:hAnsi="Microsoft YaHei" w:eastAsia="Microsoft YaHei"/>
                <w:b w:val="0"/>
                <w:color w:val="1F2937"/>
                <w:sz w:val="19"/>
              </w:rPr>
              <w:t>日期：</w:t>
            </w:r>
          </w:p>
        </w:tc>
        <w:tc>
          <w:tcPr>
            <w:tcW w:type="dxa" w:w="4873"/>
            <w:vAlign w:val="center"/>
          </w:tcPr>
          <w:p>
            <w:pPr>
              <w:spacing w:after="0"/>
            </w:pPr>
            <w:r/>
            <w:r>
              <w:rPr>
                <w:rFonts w:ascii="Microsoft YaHei" w:hAnsi="Microsoft YaHei" w:eastAsia="Microsoft YaHei"/>
                <w:b w:val="0"/>
                <w:color w:val="1F2937"/>
                <w:sz w:val="19"/>
              </w:rPr>
              <w:t>日期：</w:t>
            </w:r>
          </w:p>
        </w:tc>
      </w:tr>
    </w:tbl>
    <w:sectPr w:rsidR="00FC693F" w:rsidRPr="0006063C" w:rsidSect="00034616">
      <w:footerReference w:type="default" r:id="rId9"/>
      <w:pgSz w:w="12240" w:h="15840"/>
      <w:pgMar w:top="1247" w:right="1247" w:bottom="1134" w:left="1247"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Microsoft YaHei" w:hAnsi="Microsoft YaHei" w:eastAsia="Microsoft YaHei"/>
        <w:b w:val="0"/>
        <w:color w:val="6B7280"/>
        <w:sz w:val="17"/>
      </w:rPr>
      <w:t>有车承运平台合规模式包 | 内部讨论稿</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20"/>
    </w:pPr>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Microsoft YaHei" w:hAnsi="Microsoft YaHei" w:eastAsia="Microsoft YaHei"/>
      <w:b/>
      <w:bCs/>
      <w:color w:val="12355B"/>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Microsoft YaHei" w:hAnsi="Microsoft YaHei" w:eastAsia="Microsoft YaHei"/>
      <w:b/>
      <w:bCs/>
      <w:color w:val="1F4D78"/>
      <w:sz w:val="25"/>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Microsoft YaHei" w:hAnsi="Microsoft YaHei" w:eastAsia="Microsoft YaHei"/>
      <w:b/>
      <w:bCs/>
      <w:color w:val="37415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