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Microsoft YaHei" w:hAnsi="Microsoft YaHei" w:eastAsia="Microsoft YaHei"/>
          <w:b/>
          <w:color w:val="0B2545"/>
          <w:sz w:val="36"/>
        </w:rPr>
        <w:t>保险及风险补偿责任条款模板</w:t>
      </w:r>
    </w:p>
    <w:p>
      <w:pPr>
        <w:jc w:val="center"/>
      </w:pPr>
      <w:r>
        <w:rPr>
          <w:rFonts w:ascii="Microsoft YaHei" w:hAnsi="Microsoft YaHei" w:eastAsia="Microsoft YaHei"/>
          <w:b w:val="0"/>
          <w:color w:val="4B5563"/>
          <w:sz w:val="20"/>
        </w:rPr>
        <w:t>模板编号：05 | 生成日期：2026-06-30</w:t>
      </w:r>
    </w:p>
    <w:p>
      <w:pPr>
        <w:spacing w:before="120" w:after="160"/>
        <w:ind w:left="113" w:right="113"/>
      </w:pPr>
      <w:r>
        <w:rPr>
          <w:rFonts w:ascii="Microsoft YaHei" w:hAnsi="Microsoft YaHei" w:eastAsia="Microsoft YaHei"/>
          <w:b/>
          <w:color w:val="7A3E00"/>
          <w:sz w:val="19"/>
        </w:rPr>
        <w:t>重要提示：本文件为业务模式与合同条款初稿，供内部讨论、法务审阅和税务论证使用。具体签署前，应由具备资质的律师、税务师、会计师结合主体资质、所在地监管口径、保险方案、实际系统证据链及交易数据复核。</w:t>
      </w:r>
    </w:p>
    <w:p>
      <w:r>
        <w:rPr>
          <w:rFonts w:ascii="Microsoft YaHei" w:hAnsi="Microsoft YaHei" w:eastAsia="Microsoft YaHei"/>
          <w:b/>
          <w:color w:val="0B2545"/>
          <w:sz w:val="21"/>
        </w:rPr>
        <w:t>适用目的：作为合同通用附件，明确保险配置、报案索赔、免赔拒赔、承包人补偿和平台追偿机制。</w:t>
      </w:r>
    </w:p>
    <w:p>
      <w:pPr>
        <w:pStyle w:val="Heading1"/>
      </w:pPr>
      <w:r>
        <w:t>一、合同当事人</w:t>
      </w:r>
    </w:p>
    <w:p>
      <w:pPr>
        <w:pStyle w:val="ListBullet"/>
        <w:spacing w:after="80"/>
        <w:ind w:left="340" w:hanging="142"/>
      </w:pPr>
      <w:r>
        <w:rPr>
          <w:rFonts w:ascii="Microsoft YaHei" w:hAnsi="Microsoft YaHei" w:eastAsia="Microsoft YaHei"/>
          <w:b w:val="0"/>
          <w:sz w:val="20"/>
        </w:rPr>
        <w:t>甲方（平台）：【】</w:t>
      </w:r>
    </w:p>
    <w:p>
      <w:pPr>
        <w:pStyle w:val="ListBullet"/>
        <w:spacing w:after="80"/>
        <w:ind w:left="340" w:hanging="142"/>
      </w:pPr>
      <w:r>
        <w:rPr>
          <w:rFonts w:ascii="Microsoft YaHei" w:hAnsi="Microsoft YaHei" w:eastAsia="Microsoft YaHei"/>
          <w:b w:val="0"/>
          <w:sz w:val="20"/>
        </w:rPr>
        <w:t>乙方（承包人/运营服务方）：【】</w:t>
      </w:r>
    </w:p>
    <w:p>
      <w:r>
        <w:rPr>
          <w:rFonts w:ascii="Microsoft YaHei" w:hAnsi="Microsoft YaHei" w:eastAsia="Microsoft YaHei"/>
          <w:b w:val="0"/>
          <w:sz w:val="21"/>
        </w:rPr>
        <w:t>签署日期：【】年【】月【】日    签署地点：【】</w:t>
      </w:r>
    </w:p>
    <w:p>
      <w:pPr>
        <w:pStyle w:val="Heading1"/>
      </w:pPr>
      <w:r>
        <w:t>二、正文条款</w:t>
      </w:r>
    </w:p>
    <w:p>
      <w:pPr>
        <w:pStyle w:val="Heading2"/>
      </w:pPr>
      <w:r>
        <w:t>1. 保险配置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合作车辆和相关运输业务应根据平台制度配置车辆交强险、商业三者险、车损险、货运险、承运人责任险及双方确认的其他保险。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保险金额、免赔额、特别约定、除外责任、投保期间和被保险人信息应与车辆、货物价值、运输路线、客户要求和风险水平匹配。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乙方应配合甲方完成投保资料、车辆资料、驾驶员资料、货物资料和历史事故资料的收集与更新。</w:t>
      </w:r>
    </w:p>
    <w:p>
      <w:pPr>
        <w:pStyle w:val="Heading2"/>
      </w:pPr>
      <w:r>
        <w:t>2. 事故报案与索赔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发生交通事故、货损货差、盗抢、扣车、污染、人员伤亡、第三方索赔或其他风险事件时，乙方及其管理资源应立即采取减损措施，并在【】小时内通知甲方。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乙方应配合甲方、保险公司、交警、路政、货主及其他相关方进行现场处置、证据固定、报案、查勘、定损、索赔和追偿。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乙方未及时报案、擅自处理、毁损证据、私下和解或提供虚假资料导致损失扩大或保险拒赔的，应承担相应补偿责任。</w:t>
      </w:r>
    </w:p>
    <w:p>
      <w:pPr>
        <w:pStyle w:val="Heading2"/>
      </w:pPr>
      <w:r>
        <w:t>3. 责任划分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平台依法承担对货主的承运人责任，但双方内部可根据事故原因、过错程度、平台规则、保险赔付和本条款约定进行最终责任分配。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因乙方错误调度、使用未准入车辆或驾驶员、违反安全制度、疲劳驾驶管理缺失、货物信息隐瞒、路线指令错误或资料不完整导致损失的，乙方承担补偿责任。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因货主申报错误、包装不当、装卸不当、危险属性隐瞒或收发货方原因导致损失的，由甲方依货主合同向货主追偿，乙方应配合提供证据。</w:t>
      </w:r>
    </w:p>
    <w:p>
      <w:pPr>
        <w:pStyle w:val="Heading2"/>
      </w:pPr>
      <w:r>
        <w:t>4. 免赔、拒赔与超限额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保险免赔额、超出保险限额部分、保险除外责任部分以及因责任方原因导致的拒赔部分，应按内部责任划分由责任方承担。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如甲方先行向货主、第三方或监管机关支付赔偿、罚款、处置费用或其他费用，且该等损失按本条款应由乙方承担，甲方有权向乙方追偿。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甲方可从乙方待结算绩效服务费、代垫成本清偿款、车辆本金返还款、保证金或其他应付款项中扣减追偿金额。</w:t>
      </w:r>
    </w:p>
    <w:p>
      <w:pPr>
        <w:pStyle w:val="Heading2"/>
      </w:pPr>
      <w:r>
        <w:t>5. 风险准备与持续管理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甲方可根据车辆、线路、货物类型、事故率、投诉率和保险赔付情况调整风险准备比例、准入标准、驾驶员管理规则和绩效扣减规则。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乙方应接受甲方安全培训、运营检查、车辆检查、驾驶员资质复核和事故复盘要求。</w:t>
      </w:r>
    </w:p>
    <w:p>
      <w:pPr>
        <w:pStyle w:val="Heading1"/>
      </w:pPr>
      <w:r>
        <w:t>三、通用签署条款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本模板中【】为空白可填项，各方应在签署前补充完整；与主合同、附件或平台规则不一致的，以各方最终签署文本为准。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本合同项下通知可通过书面文件、平台系统、电子邮件、短信或双方确认的其他方式发送。涉及解除、追偿、重大违约、争议解决的通知，宜采用可留痕方式。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因本合同产生的争议，各方应先友好协商；协商不成的，提交【平台所在地有管辖权人民法院/仲裁委员会】解决。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本合同自各方盖章或签字之日起生效。电子签章、可靠电子签名及平台确认流程具有与纸质签署同等的证明效力，但法律法规另有规定的除外。</w:t>
      </w:r>
    </w:p>
    <w:p>
      <w:pPr>
        <w:pStyle w:val="Heading1"/>
      </w:pPr>
      <w:r>
        <w:t>四、签署页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4873"/>
        <w:gridCol w:w="4873"/>
      </w:tblGrid>
      <w:tr>
        <w:tc>
          <w:tcPr>
            <w:tcW w:type="dxa" w:w="4873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  <w:color w:val="1F2937"/>
                <w:sz w:val="19"/>
              </w:rPr>
              <w:t>甲方：</w:t>
            </w:r>
          </w:p>
        </w:tc>
        <w:tc>
          <w:tcPr>
            <w:tcW w:type="dxa" w:w="4873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  <w:color w:val="1F2937"/>
                <w:sz w:val="19"/>
              </w:rPr>
              <w:t>乙方/承诺方：</w:t>
            </w:r>
          </w:p>
        </w:tc>
      </w:tr>
      <w:tr>
        <w:tc>
          <w:tcPr>
            <w:tcW w:type="dxa" w:w="4873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  <w:color w:val="1F2937"/>
                <w:sz w:val="19"/>
              </w:rPr>
              <w:t>盖章/签字：</w:t>
            </w:r>
          </w:p>
        </w:tc>
        <w:tc>
          <w:tcPr>
            <w:tcW w:type="dxa" w:w="4873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  <w:color w:val="1F2937"/>
                <w:sz w:val="19"/>
              </w:rPr>
              <w:t>盖章/签字：</w:t>
            </w:r>
          </w:p>
        </w:tc>
      </w:tr>
      <w:tr>
        <w:tc>
          <w:tcPr>
            <w:tcW w:type="dxa" w:w="4873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  <w:color w:val="1F2937"/>
                <w:sz w:val="19"/>
              </w:rPr>
              <w:t>授权代表：</w:t>
            </w:r>
          </w:p>
        </w:tc>
        <w:tc>
          <w:tcPr>
            <w:tcW w:type="dxa" w:w="4873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  <w:color w:val="1F2937"/>
                <w:sz w:val="19"/>
              </w:rPr>
              <w:t>授权代表：</w:t>
            </w:r>
          </w:p>
        </w:tc>
      </w:tr>
      <w:tr>
        <w:tc>
          <w:tcPr>
            <w:tcW w:type="dxa" w:w="4873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  <w:color w:val="1F2937"/>
                <w:sz w:val="19"/>
              </w:rPr>
              <w:t>日期：</w:t>
            </w:r>
          </w:p>
        </w:tc>
        <w:tc>
          <w:tcPr>
            <w:tcW w:type="dxa" w:w="4873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  <w:color w:val="1F2937"/>
                <w:sz w:val="19"/>
              </w:rPr>
              <w:t>日期：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247" w:right="1247" w:bottom="1134" w:left="124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Microsoft YaHei" w:hAnsi="Microsoft YaHei" w:eastAsia="Microsoft YaHei"/>
        <w:b w:val="0"/>
        <w:color w:val="6B7280"/>
        <w:sz w:val="17"/>
      </w:rPr>
      <w:t>有车承运平台合规模式包 | 内部讨论稿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88" w:lineRule="auto" w:after="120"/>
    </w:pPr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00"/>
      <w:outlineLvl w:val="0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12355B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1F4D78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374151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